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参选房源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FFC项目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T1栋33楼3301-3305、3307-3308号房源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（总面积1895.53㎡）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2310" w:firstLineChars="11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/>
              </w:rPr>
              <w:t>每2年递增3%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165090" cy="3023235"/>
            <wp:effectExtent l="0" t="0" r="1651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T1栋写字楼大堂实拍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baseline"/>
      </w:pPr>
      <w:r>
        <w:drawing>
          <wp:inline distT="0" distB="0" distL="114300" distR="114300">
            <wp:extent cx="5273040" cy="3165475"/>
            <wp:effectExtent l="0" t="0" r="3810" b="158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T1栋33层写字楼实拍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baseline"/>
        <w:rPr>
          <w:rFonts w:hint="eastAsia"/>
          <w:lang w:val="en-US" w:eastAsia="zh-CN"/>
        </w:rPr>
      </w:pP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041"/>
        <w:gridCol w:w="889"/>
        <w:gridCol w:w="889"/>
        <w:gridCol w:w="889"/>
        <w:gridCol w:w="889"/>
        <w:gridCol w:w="1421"/>
        <w:gridCol w:w="16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85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租金单价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1895.53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其他优惠：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（1）装修优惠期：7个月（前2年每年释放3个月，第3年释放1个月，平摊至当年月租金）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（2）停车优惠：租赁期内免费使用3个负一层固定停车位。租赁期内按需购买停车券，享经营性客商临时停车优惠政策。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5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2AA3C5D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06F14E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FD0443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2025-12-12T07:20:12Z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